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B9408A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bookmarkStart w:id="0" w:name="_GoBack"/>
      <w:bookmarkEnd w:id="0"/>
      <w:r w:rsidRPr="00B9408A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B9408A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B9408A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B9408A" w:rsidRPr="00B9408A" w:rsidRDefault="00B9408A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B9408A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9408A">
        <w:rPr>
          <w:rFonts w:asciiTheme="minorHAnsi" w:hAnsiTheme="minorHAnsi" w:cs="Arial"/>
          <w:b/>
          <w:lang w:val="en-ZA"/>
        </w:rPr>
        <w:t>Date:</w:t>
      </w:r>
      <w:r w:rsidRPr="00B9408A">
        <w:rPr>
          <w:rFonts w:asciiTheme="minorHAnsi" w:hAnsiTheme="minorHAnsi" w:cs="Arial"/>
          <w:b/>
          <w:lang w:val="en-ZA"/>
        </w:rPr>
        <w:tab/>
      </w:r>
      <w:r w:rsidR="006344ED">
        <w:rPr>
          <w:rFonts w:asciiTheme="minorHAnsi" w:hAnsiTheme="minorHAnsi" w:cs="Arial"/>
          <w:b/>
          <w:lang w:val="en-ZA"/>
        </w:rPr>
        <w:t>0</w:t>
      </w:r>
      <w:r w:rsidR="008B428E">
        <w:rPr>
          <w:rFonts w:asciiTheme="minorHAnsi" w:hAnsiTheme="minorHAnsi" w:cs="Arial"/>
          <w:b/>
          <w:lang w:val="en-ZA"/>
        </w:rPr>
        <w:t>9</w:t>
      </w:r>
      <w:r w:rsidR="006344ED">
        <w:rPr>
          <w:rFonts w:asciiTheme="minorHAnsi" w:hAnsiTheme="minorHAnsi" w:cs="Arial"/>
          <w:b/>
          <w:lang w:val="en-ZA"/>
        </w:rPr>
        <w:t xml:space="preserve"> March</w:t>
      </w:r>
      <w:r w:rsidR="007D262F">
        <w:rPr>
          <w:rFonts w:asciiTheme="minorHAnsi" w:hAnsiTheme="minorHAnsi" w:cs="Arial"/>
          <w:b/>
          <w:lang w:val="en-ZA"/>
        </w:rPr>
        <w:t xml:space="preserve"> 2015</w:t>
      </w:r>
    </w:p>
    <w:p w:rsidR="00DE6F97" w:rsidRPr="00B9408A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B9408A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9408A">
        <w:rPr>
          <w:rFonts w:asciiTheme="minorHAnsi" w:hAnsiTheme="minorHAnsi" w:cs="Arial"/>
          <w:b/>
          <w:smallCaps/>
          <w:lang w:val="en-ZA"/>
        </w:rPr>
        <w:t>Subject:</w:t>
      </w:r>
      <w:r w:rsidRPr="00B9408A">
        <w:rPr>
          <w:rFonts w:asciiTheme="minorHAnsi" w:hAnsiTheme="minorHAnsi" w:cs="Arial"/>
          <w:b/>
          <w:lang w:val="en-ZA"/>
        </w:rPr>
        <w:t xml:space="preserve"> </w:t>
      </w:r>
      <w:r w:rsidR="009E10D7" w:rsidRPr="009E10D7">
        <w:rPr>
          <w:rFonts w:asciiTheme="minorHAnsi" w:hAnsiTheme="minorHAnsi" w:cs="Arial"/>
          <w:lang w:val="en-ZA"/>
        </w:rPr>
        <w:t>Full</w:t>
      </w:r>
      <w:r w:rsidRPr="00B9408A">
        <w:rPr>
          <w:rFonts w:asciiTheme="minorHAnsi" w:hAnsiTheme="minorHAnsi" w:cs="Arial"/>
          <w:b/>
          <w:lang w:val="en-ZA"/>
        </w:rPr>
        <w:t xml:space="preserve"> </w:t>
      </w:r>
      <w:r w:rsidR="00485EBC">
        <w:rPr>
          <w:rFonts w:asciiTheme="minorHAnsi" w:hAnsiTheme="minorHAnsi" w:cs="Arial"/>
          <w:lang w:val="en-ZA"/>
        </w:rPr>
        <w:t xml:space="preserve">Scheduled </w:t>
      </w:r>
      <w:proofErr w:type="spellStart"/>
      <w:r w:rsidR="00485EBC">
        <w:rPr>
          <w:rFonts w:asciiTheme="minorHAnsi" w:hAnsiTheme="minorHAnsi" w:cs="Arial"/>
          <w:lang w:val="en-ZA"/>
        </w:rPr>
        <w:t>Capiltal</w:t>
      </w:r>
      <w:proofErr w:type="spellEnd"/>
      <w:r w:rsidR="00047C09">
        <w:rPr>
          <w:rFonts w:asciiTheme="minorHAnsi" w:hAnsiTheme="minorHAnsi" w:cs="Arial"/>
          <w:lang w:val="en-ZA"/>
        </w:rPr>
        <w:t xml:space="preserve"> </w:t>
      </w:r>
      <w:r w:rsidR="007D262F">
        <w:rPr>
          <w:rFonts w:asciiTheme="minorHAnsi" w:hAnsiTheme="minorHAnsi" w:cs="Arial"/>
          <w:lang w:val="en-ZA"/>
        </w:rPr>
        <w:t>R</w:t>
      </w:r>
      <w:r w:rsidR="00047C09">
        <w:rPr>
          <w:rFonts w:asciiTheme="minorHAnsi" w:hAnsiTheme="minorHAnsi" w:cs="Arial"/>
          <w:lang w:val="en-ZA"/>
        </w:rPr>
        <w:t>edemption</w:t>
      </w:r>
    </w:p>
    <w:p w:rsidR="00DE6F97" w:rsidRPr="00B9408A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9408A">
        <w:rPr>
          <w:rFonts w:asciiTheme="minorHAnsi" w:hAnsiTheme="minorHAnsi" w:cs="Arial"/>
          <w:b/>
          <w:i/>
          <w:lang w:val="en-ZA"/>
        </w:rPr>
        <w:t>(</w:t>
      </w:r>
      <w:r w:rsidR="008B428E">
        <w:rPr>
          <w:rFonts w:asciiTheme="minorHAnsi" w:hAnsiTheme="minorHAnsi" w:cs="Arial"/>
          <w:b/>
          <w:lang w:val="en-ZA"/>
        </w:rPr>
        <w:t>AFRICAN</w:t>
      </w:r>
      <w:r w:rsidR="006344ED">
        <w:rPr>
          <w:rFonts w:asciiTheme="minorHAnsi" w:hAnsiTheme="minorHAnsi" w:cs="Arial"/>
          <w:b/>
          <w:lang w:val="en-ZA"/>
        </w:rPr>
        <w:t xml:space="preserve"> BANK LIMITED</w:t>
      </w:r>
      <w:r w:rsidR="007D262F" w:rsidRPr="00B9408A">
        <w:rPr>
          <w:rFonts w:asciiTheme="minorHAnsi" w:hAnsiTheme="minorHAnsi"/>
          <w:lang w:val="en-ZA"/>
        </w:rPr>
        <w:t xml:space="preserve"> </w:t>
      </w:r>
      <w:r w:rsidR="00047C09">
        <w:rPr>
          <w:rFonts w:asciiTheme="minorHAnsi" w:hAnsiTheme="minorHAnsi" w:cs="Arial"/>
          <w:b/>
          <w:i/>
          <w:lang w:val="en-ZA"/>
        </w:rPr>
        <w:t>–“</w:t>
      </w:r>
      <w:r w:rsidR="0061399D">
        <w:rPr>
          <w:rFonts w:asciiTheme="minorHAnsi" w:hAnsiTheme="minorHAnsi" w:cs="Arial"/>
          <w:b/>
          <w:i/>
          <w:lang w:val="en-ZA"/>
        </w:rPr>
        <w:t>ABL10A; ABL10B; ABLI03</w:t>
      </w:r>
      <w:r w:rsidRPr="00B9408A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B9408A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B9408A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9408A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B9408A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B9408A" w:rsidRPr="00B9408A" w:rsidRDefault="00B9408A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B9408A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B9408A">
        <w:rPr>
          <w:rFonts w:asciiTheme="minorHAnsi" w:hAnsiTheme="minorHAnsi"/>
          <w:lang w:val="en-ZA"/>
        </w:rPr>
        <w:t xml:space="preserve">In accordance with the Terms and Conditions of </w:t>
      </w:r>
      <w:r w:rsidR="008B428E">
        <w:rPr>
          <w:rFonts w:asciiTheme="minorHAnsi" w:hAnsiTheme="minorHAnsi" w:cs="Arial"/>
          <w:b/>
          <w:lang w:val="en-ZA"/>
        </w:rPr>
        <w:t>AFRICAN</w:t>
      </w:r>
      <w:r w:rsidR="006344ED">
        <w:rPr>
          <w:rFonts w:asciiTheme="minorHAnsi" w:hAnsiTheme="minorHAnsi" w:cs="Arial"/>
          <w:b/>
          <w:lang w:val="en-ZA"/>
        </w:rPr>
        <w:t xml:space="preserve"> BANK LIMITED</w:t>
      </w:r>
      <w:r w:rsidR="006344ED" w:rsidRPr="00B9408A">
        <w:rPr>
          <w:rFonts w:asciiTheme="minorHAnsi" w:hAnsiTheme="minorHAnsi"/>
          <w:lang w:val="en-ZA"/>
        </w:rPr>
        <w:t xml:space="preserve"> </w:t>
      </w:r>
      <w:r w:rsidRPr="00B9408A">
        <w:rPr>
          <w:rFonts w:asciiTheme="minorHAnsi" w:hAnsiTheme="minorHAnsi"/>
          <w:lang w:val="en-ZA"/>
        </w:rPr>
        <w:t xml:space="preserve">notes, investors are herewith advised of the </w:t>
      </w:r>
      <w:r w:rsidR="00485EBC">
        <w:rPr>
          <w:rFonts w:asciiTheme="minorHAnsi" w:hAnsiTheme="minorHAnsi" w:cs="Arial"/>
          <w:lang w:val="en-ZA"/>
        </w:rPr>
        <w:t xml:space="preserve">Scheduled </w:t>
      </w:r>
      <w:proofErr w:type="spellStart"/>
      <w:r w:rsidR="00485EBC">
        <w:rPr>
          <w:rFonts w:asciiTheme="minorHAnsi" w:hAnsiTheme="minorHAnsi" w:cs="Arial"/>
          <w:lang w:val="en-ZA"/>
        </w:rPr>
        <w:t>Capiltal</w:t>
      </w:r>
      <w:proofErr w:type="spellEnd"/>
      <w:r w:rsidR="00485EBC">
        <w:rPr>
          <w:rFonts w:asciiTheme="minorHAnsi" w:hAnsiTheme="minorHAnsi"/>
          <w:lang w:val="en-ZA"/>
        </w:rPr>
        <w:t xml:space="preserve"> R</w:t>
      </w:r>
      <w:r w:rsidRPr="00B9408A">
        <w:rPr>
          <w:rFonts w:asciiTheme="minorHAnsi" w:hAnsiTheme="minorHAnsi"/>
          <w:lang w:val="en-ZA"/>
        </w:rPr>
        <w:t xml:space="preserve">edemption of the below notes effective </w:t>
      </w:r>
      <w:r w:rsidR="0061399D">
        <w:rPr>
          <w:rFonts w:asciiTheme="minorHAnsi" w:hAnsiTheme="minorHAnsi"/>
          <w:b/>
          <w:lang w:val="en-ZA"/>
        </w:rPr>
        <w:t>15</w:t>
      </w:r>
      <w:r w:rsidR="006344ED">
        <w:rPr>
          <w:rFonts w:asciiTheme="minorHAnsi" w:hAnsiTheme="minorHAnsi"/>
          <w:b/>
          <w:lang w:val="en-ZA"/>
        </w:rPr>
        <w:t xml:space="preserve"> March 2015</w:t>
      </w:r>
      <w:r w:rsidR="00047C09">
        <w:rPr>
          <w:rFonts w:asciiTheme="minorHAnsi" w:hAnsiTheme="minorHAnsi"/>
          <w:b/>
          <w:lang w:val="en-ZA"/>
        </w:rPr>
        <w:t>.</w:t>
      </w:r>
    </w:p>
    <w:p w:rsidR="00DE6F97" w:rsidRPr="00B9408A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B9408A" w:rsidRPr="00B9408A" w:rsidRDefault="00B9408A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B9408A" w:rsidTr="00614B83">
        <w:trPr>
          <w:jc w:val="center"/>
        </w:trPr>
        <w:tc>
          <w:tcPr>
            <w:tcW w:w="1871" w:type="dxa"/>
          </w:tcPr>
          <w:p w:rsidR="00DE6F97" w:rsidRPr="00B9408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B9408A" w:rsidRDefault="007D262F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Early</w:t>
            </w:r>
            <w:r w:rsidR="00DE6F97" w:rsidRPr="00B9408A">
              <w:rPr>
                <w:rFonts w:asciiTheme="minorHAnsi" w:eastAsia="Times New Roman" w:hAnsiTheme="minorHAnsi"/>
                <w:b/>
                <w:lang w:val="en-ZA"/>
              </w:rPr>
              <w:t xml:space="preserve"> Redemption Amount</w:t>
            </w:r>
          </w:p>
        </w:tc>
        <w:tc>
          <w:tcPr>
            <w:tcW w:w="399" w:type="dxa"/>
          </w:tcPr>
          <w:p w:rsidR="00DE6F97" w:rsidRPr="00B9408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B9408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B9408A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7D262F">
              <w:rPr>
                <w:rFonts w:asciiTheme="minorHAnsi" w:eastAsia="Times New Roman" w:hAnsiTheme="minorHAnsi"/>
                <w:b/>
                <w:lang w:val="en-ZA"/>
              </w:rPr>
              <w:t xml:space="preserve">Early </w:t>
            </w:r>
            <w:r w:rsidRPr="00B9408A">
              <w:rPr>
                <w:rFonts w:asciiTheme="minorHAnsi" w:eastAsia="Times New Roman" w:hAnsiTheme="minorHAnsi"/>
                <w:b/>
                <w:lang w:val="en-ZA"/>
              </w:rPr>
              <w:t>Redemption</w:t>
            </w:r>
          </w:p>
          <w:p w:rsidR="00DE6F97" w:rsidRPr="00B9408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B9408A" w:rsidTr="00614B83">
        <w:trPr>
          <w:jc w:val="center"/>
        </w:trPr>
        <w:tc>
          <w:tcPr>
            <w:tcW w:w="1871" w:type="dxa"/>
          </w:tcPr>
          <w:p w:rsidR="00DE6F97" w:rsidRPr="008B428E" w:rsidRDefault="0061399D" w:rsidP="00FD6C30">
            <w:pPr>
              <w:ind w:right="114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ABL10A</w:t>
            </w:r>
            <w:r w:rsidR="00B9408A" w:rsidRPr="00B9408A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 xml:space="preserve"> </w:t>
            </w:r>
            <w:r w:rsidRPr="0061399D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ZAG000065053</w:t>
            </w:r>
          </w:p>
        </w:tc>
        <w:tc>
          <w:tcPr>
            <w:tcW w:w="2925" w:type="dxa"/>
          </w:tcPr>
          <w:p w:rsidR="0061399D" w:rsidRDefault="00DE6F97" w:rsidP="0061399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9408A" w:rsidRPr="00C61418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</w:p>
          <w:p w:rsidR="00DE6F97" w:rsidRPr="00C61418" w:rsidRDefault="0061399D" w:rsidP="0061399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B9408A" w:rsidRPr="00C61418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450</w:t>
            </w:r>
            <w:r w:rsidR="00FD6C30">
              <w:rPr>
                <w:rFonts w:asciiTheme="minorHAnsi" w:eastAsia="Times New Roman" w:hAnsiTheme="minorHAnsi"/>
                <w:lang w:val="en-ZA"/>
              </w:rPr>
              <w:t>,000</w:t>
            </w:r>
            <w:r w:rsidR="00C61418" w:rsidRPr="00C61418"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  <w:tc>
          <w:tcPr>
            <w:tcW w:w="399" w:type="dxa"/>
          </w:tcPr>
          <w:p w:rsidR="00DE6F97" w:rsidRPr="00C61418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1399D" w:rsidRDefault="00DE6F97" w:rsidP="00F4050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B9408A" w:rsidRPr="00C61418">
              <w:rPr>
                <w:rFonts w:asciiTheme="minorHAnsi" w:eastAsia="Times New Roman" w:hAnsiTheme="minorHAnsi"/>
                <w:lang w:val="en-ZA"/>
              </w:rPr>
              <w:t xml:space="preserve">             </w:t>
            </w:r>
          </w:p>
          <w:p w:rsidR="00DE6F97" w:rsidRPr="00C61418" w:rsidRDefault="0061399D" w:rsidP="00F4050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 w:rsidR="00F4050B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  <w:tr w:rsidR="0061399D" w:rsidRPr="00B9408A" w:rsidTr="0061399D">
        <w:trPr>
          <w:trHeight w:val="361"/>
          <w:jc w:val="center"/>
        </w:trPr>
        <w:tc>
          <w:tcPr>
            <w:tcW w:w="1871" w:type="dxa"/>
          </w:tcPr>
          <w:p w:rsidR="0061399D" w:rsidRDefault="0061399D" w:rsidP="00FD6C30">
            <w:pPr>
              <w:ind w:right="114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</w:pPr>
          </w:p>
          <w:p w:rsidR="0061399D" w:rsidRDefault="0061399D" w:rsidP="00FD6C30">
            <w:pPr>
              <w:ind w:right="114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ABL10B</w:t>
            </w:r>
          </w:p>
        </w:tc>
        <w:tc>
          <w:tcPr>
            <w:tcW w:w="2925" w:type="dxa"/>
          </w:tcPr>
          <w:p w:rsidR="0061399D" w:rsidRPr="00C61418" w:rsidRDefault="0061399D" w:rsidP="0061399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61399D" w:rsidRPr="00C61418" w:rsidRDefault="0061399D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1399D" w:rsidRPr="00C61418" w:rsidRDefault="0061399D" w:rsidP="00F4050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Default="0061399D" w:rsidP="00551F1E">
      <w:pPr>
        <w:ind w:right="720" w:firstLine="720"/>
        <w:rPr>
          <w:rFonts w:asciiTheme="minorHAnsi" w:eastAsia="Times New Roman" w:hAnsiTheme="minorHAnsi"/>
          <w:lang w:val="en-ZA"/>
        </w:rPr>
      </w:pPr>
      <w:r w:rsidRPr="0061399D">
        <w:rPr>
          <w:rFonts w:asciiTheme="minorHAnsi" w:hAnsiTheme="minorHAnsi" w:cs="Arial"/>
          <w:b/>
          <w:i/>
          <w:sz w:val="22"/>
          <w:szCs w:val="22"/>
          <w:lang w:val="en-ZA"/>
        </w:rPr>
        <w:t>ZAG000065061</w:t>
      </w:r>
      <w:r>
        <w:rPr>
          <w:rFonts w:asciiTheme="minorHAnsi" w:hAnsiTheme="minorHAnsi" w:cs="Arial"/>
          <w:b/>
          <w:i/>
          <w:sz w:val="22"/>
          <w:szCs w:val="22"/>
          <w:lang w:val="en-ZA"/>
        </w:rPr>
        <w:tab/>
      </w:r>
      <w:r>
        <w:rPr>
          <w:rFonts w:asciiTheme="minorHAnsi" w:hAnsiTheme="minorHAnsi" w:cs="Arial"/>
          <w:b/>
          <w:i/>
          <w:sz w:val="22"/>
          <w:szCs w:val="22"/>
          <w:lang w:val="en-ZA"/>
        </w:rPr>
        <w:tab/>
        <w:t xml:space="preserve">  </w:t>
      </w:r>
      <w:r w:rsidRPr="0061399D">
        <w:rPr>
          <w:rFonts w:asciiTheme="minorHAnsi" w:eastAsia="Times New Roman" w:hAnsiTheme="minorHAnsi"/>
          <w:lang w:val="en-ZA"/>
        </w:rPr>
        <w:t>R 500,000,000.00</w:t>
      </w:r>
      <w:r>
        <w:rPr>
          <w:rFonts w:asciiTheme="minorHAnsi" w:hAnsiTheme="minorHAnsi" w:cs="Arial"/>
          <w:b/>
          <w:i/>
          <w:sz w:val="22"/>
          <w:szCs w:val="22"/>
          <w:lang w:val="en-ZA"/>
        </w:rPr>
        <w:tab/>
      </w:r>
      <w:r>
        <w:rPr>
          <w:rFonts w:asciiTheme="minorHAnsi" w:hAnsiTheme="minorHAnsi" w:cs="Arial"/>
          <w:b/>
          <w:i/>
          <w:sz w:val="22"/>
          <w:szCs w:val="22"/>
          <w:lang w:val="en-ZA"/>
        </w:rPr>
        <w:tab/>
      </w:r>
      <w:r w:rsidRPr="00C61418">
        <w:rPr>
          <w:rFonts w:asciiTheme="minorHAnsi" w:eastAsia="Times New Roman" w:hAnsiTheme="minorHAnsi"/>
          <w:lang w:val="en-ZA"/>
        </w:rPr>
        <w:t xml:space="preserve">               </w:t>
      </w:r>
      <w:r>
        <w:rPr>
          <w:rFonts w:asciiTheme="minorHAnsi" w:eastAsia="Times New Roman" w:hAnsiTheme="minorHAnsi"/>
          <w:lang w:val="en-ZA"/>
        </w:rPr>
        <w:t xml:space="preserve">    R 0.00</w:t>
      </w:r>
    </w:p>
    <w:p w:rsidR="0061399D" w:rsidRDefault="0061399D" w:rsidP="00DE6F97">
      <w:pPr>
        <w:ind w:right="720"/>
        <w:rPr>
          <w:rFonts w:asciiTheme="minorHAnsi" w:eastAsia="Times New Roman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1399D" w:rsidRPr="00C61418" w:rsidTr="00215361">
        <w:trPr>
          <w:jc w:val="center"/>
        </w:trPr>
        <w:tc>
          <w:tcPr>
            <w:tcW w:w="1871" w:type="dxa"/>
          </w:tcPr>
          <w:p w:rsidR="0061399D" w:rsidRDefault="0061399D" w:rsidP="0061399D">
            <w:pPr>
              <w:ind w:right="114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ABLI03</w:t>
            </w:r>
          </w:p>
          <w:p w:rsidR="0061399D" w:rsidRPr="008B428E" w:rsidRDefault="0061399D" w:rsidP="0061399D">
            <w:pPr>
              <w:ind w:right="114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</w:pPr>
            <w:r w:rsidRPr="0061399D">
              <w:rPr>
                <w:rFonts w:asciiTheme="minorHAnsi" w:hAnsiTheme="minorHAnsi" w:cs="Arial"/>
                <w:b/>
                <w:i/>
                <w:sz w:val="22"/>
                <w:szCs w:val="22"/>
                <w:lang w:val="en-ZA"/>
              </w:rPr>
              <w:t>ZAG000076068</w:t>
            </w:r>
          </w:p>
        </w:tc>
        <w:tc>
          <w:tcPr>
            <w:tcW w:w="2925" w:type="dxa"/>
          </w:tcPr>
          <w:p w:rsidR="0061399D" w:rsidRDefault="0061399D" w:rsidP="0061399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C61418"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</w:p>
          <w:p w:rsidR="0061399D" w:rsidRPr="00C61418" w:rsidRDefault="0061399D" w:rsidP="0061399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C61418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750,000</w:t>
            </w:r>
            <w:r w:rsidRPr="00C61418">
              <w:rPr>
                <w:rFonts w:asciiTheme="minorHAnsi" w:eastAsia="Times New Roman" w:hAnsiTheme="minorHAnsi"/>
                <w:lang w:val="en-ZA"/>
              </w:rPr>
              <w:t>,000.00</w:t>
            </w:r>
          </w:p>
        </w:tc>
        <w:tc>
          <w:tcPr>
            <w:tcW w:w="399" w:type="dxa"/>
          </w:tcPr>
          <w:p w:rsidR="0061399D" w:rsidRPr="00C61418" w:rsidRDefault="0061399D" w:rsidP="0021536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1399D" w:rsidRDefault="0061399D" w:rsidP="0021536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C61418"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</w:p>
          <w:p w:rsidR="0061399D" w:rsidRPr="00C61418" w:rsidRDefault="0061399D" w:rsidP="0021536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R 0.00</w:t>
            </w:r>
          </w:p>
        </w:tc>
      </w:tr>
    </w:tbl>
    <w:p w:rsidR="0061399D" w:rsidRDefault="0061399D" w:rsidP="00DE6F97">
      <w:pPr>
        <w:ind w:right="720"/>
        <w:rPr>
          <w:rFonts w:asciiTheme="minorHAnsi" w:eastAsia="Times New Roman" w:hAnsiTheme="minorHAnsi"/>
          <w:lang w:val="en-ZA"/>
        </w:rPr>
      </w:pPr>
    </w:p>
    <w:p w:rsidR="0061399D" w:rsidRDefault="00F4759C" w:rsidP="00551F1E">
      <w:pPr>
        <w:ind w:right="720"/>
        <w:jc w:val="both"/>
        <w:rPr>
          <w:rFonts w:asciiTheme="minorHAnsi" w:hAnsiTheme="minorHAnsi"/>
          <w:lang w:val="en-ZA"/>
        </w:rPr>
      </w:pPr>
      <w:r w:rsidRPr="00551F1E">
        <w:rPr>
          <w:rFonts w:asciiTheme="minorHAnsi" w:hAnsiTheme="minorHAnsi"/>
          <w:lang w:val="en-ZA"/>
        </w:rPr>
        <w:t xml:space="preserve">Interested parties are referred to the Stock Exchange News Service (“SENS”) announcement released by </w:t>
      </w:r>
      <w:r>
        <w:rPr>
          <w:rFonts w:asciiTheme="minorHAnsi" w:hAnsiTheme="minorHAnsi"/>
          <w:lang w:val="en-ZA"/>
        </w:rPr>
        <w:t>African</w:t>
      </w:r>
      <w:r w:rsidRPr="00551F1E">
        <w:rPr>
          <w:rFonts w:asciiTheme="minorHAnsi" w:hAnsiTheme="minorHAnsi"/>
          <w:lang w:val="en-ZA"/>
        </w:rPr>
        <w:t xml:space="preserve"> Bank on 14 August 2014, relating to the suspension of interest and principal payments on African Bank senior unsecured debt, excluding retail deposits and sundry creditors, as a result of the curatorship of the Bank. Accordingly, repayment of both interest and capital on the above listed bonds will not take place on the relevant maturity dates.</w:t>
      </w:r>
    </w:p>
    <w:p w:rsidR="00F4759C" w:rsidRDefault="00F4759C" w:rsidP="00551F1E">
      <w:pPr>
        <w:ind w:right="720"/>
        <w:jc w:val="both"/>
        <w:rPr>
          <w:rFonts w:asciiTheme="minorHAnsi" w:hAnsiTheme="minorHAnsi"/>
          <w:lang w:val="en-ZA"/>
        </w:rPr>
      </w:pPr>
    </w:p>
    <w:p w:rsidR="00F4759C" w:rsidRPr="00551F1E" w:rsidRDefault="00F4759C" w:rsidP="00551F1E">
      <w:pPr>
        <w:ind w:right="720"/>
        <w:jc w:val="both"/>
        <w:rPr>
          <w:rFonts w:asciiTheme="minorHAnsi" w:hAnsiTheme="minorHAnsi"/>
          <w:lang w:val="en-ZA"/>
        </w:rPr>
      </w:pPr>
      <w:r w:rsidRPr="00F4759C">
        <w:rPr>
          <w:rFonts w:asciiTheme="minorHAnsi" w:hAnsiTheme="minorHAnsi"/>
          <w:lang w:val="en-ZA"/>
        </w:rPr>
        <w:t xml:space="preserve">Interested parties are referred to the subsequent SENS announcements released on 26 September 2014, 10 December 2014 and 3 March 2015, which provided further information regarding the intended restructuring proposal of </w:t>
      </w:r>
      <w:r>
        <w:rPr>
          <w:rFonts w:asciiTheme="minorHAnsi" w:hAnsiTheme="minorHAnsi"/>
          <w:lang w:val="en-ZA"/>
        </w:rPr>
        <w:t>African</w:t>
      </w:r>
      <w:r w:rsidRPr="00F4759C">
        <w:rPr>
          <w:rFonts w:asciiTheme="minorHAnsi" w:hAnsiTheme="minorHAnsi"/>
          <w:lang w:val="en-ZA"/>
        </w:rPr>
        <w:t xml:space="preserve"> Bank.  </w:t>
      </w:r>
    </w:p>
    <w:p w:rsidR="00DE6F97" w:rsidRPr="001651E3" w:rsidRDefault="00DE6F97" w:rsidP="00DE6F97">
      <w:pPr>
        <w:spacing w:line="360" w:lineRule="auto"/>
        <w:ind w:right="720"/>
        <w:jc w:val="both"/>
        <w:rPr>
          <w:rFonts w:asciiTheme="minorHAnsi" w:hAnsiTheme="minorHAnsi"/>
          <w:b/>
          <w:lang w:val="en-ZA"/>
        </w:rPr>
      </w:pPr>
    </w:p>
    <w:p w:rsidR="00DE6F97" w:rsidRPr="00B9408A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B9408A">
        <w:rPr>
          <w:rFonts w:asciiTheme="minorHAnsi" w:hAnsiTheme="minorHAnsi"/>
          <w:lang w:val="en-ZA"/>
        </w:rPr>
        <w:t>For further information on the Note issued please contact:</w:t>
      </w:r>
    </w:p>
    <w:p w:rsidR="00B9408A" w:rsidRPr="00B9408A" w:rsidRDefault="00B9408A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9408A" w:rsidRPr="00B9408A" w:rsidRDefault="008B428E" w:rsidP="00B940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047C09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="00047C09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</w:p>
    <w:p w:rsidR="00DE6F97" w:rsidRPr="00B9408A" w:rsidRDefault="007D262F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DE6F97" w:rsidRPr="00B9408A">
        <w:rPr>
          <w:rFonts w:asciiTheme="minorHAnsi" w:hAnsiTheme="minorHAnsi" w:cs="Arial"/>
          <w:lang w:val="en-ZA"/>
        </w:rPr>
        <w:tab/>
        <w:t>JSE</w:t>
      </w:r>
      <w:r w:rsidR="00DE6F97" w:rsidRPr="00B9408A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p w:rsidR="00085030" w:rsidRPr="00B9408A" w:rsidRDefault="00DE6F97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B9408A">
        <w:rPr>
          <w:rFonts w:asciiTheme="minorHAnsi" w:hAnsiTheme="minorHAnsi" w:cs="Arial"/>
          <w:lang w:val="en-ZA"/>
        </w:rPr>
        <w:t>Diboko Ledwaba</w:t>
      </w:r>
      <w:r w:rsidRPr="00B9408A">
        <w:rPr>
          <w:rFonts w:asciiTheme="minorHAnsi" w:hAnsiTheme="minorHAnsi" w:cs="Arial"/>
          <w:lang w:val="en-ZA"/>
        </w:rPr>
        <w:tab/>
      </w:r>
      <w:r w:rsidR="00DC4C6E">
        <w:rPr>
          <w:rFonts w:asciiTheme="minorHAnsi" w:hAnsiTheme="minorHAnsi" w:cs="Arial"/>
          <w:lang w:val="en-ZA"/>
        </w:rPr>
        <w:tab/>
      </w:r>
      <w:r w:rsidR="00DC4C6E">
        <w:rPr>
          <w:rFonts w:asciiTheme="minorHAnsi" w:hAnsiTheme="minorHAnsi" w:cs="Arial"/>
          <w:lang w:val="en-ZA"/>
        </w:rPr>
        <w:tab/>
        <w:t xml:space="preserve">           </w:t>
      </w:r>
      <w:r w:rsidRPr="00B9408A">
        <w:rPr>
          <w:rFonts w:asciiTheme="minorHAnsi" w:hAnsiTheme="minorHAnsi" w:cs="Arial"/>
          <w:lang w:val="en-ZA"/>
        </w:rPr>
        <w:t>JSE</w:t>
      </w:r>
      <w:r w:rsidRPr="00B9408A">
        <w:rPr>
          <w:rFonts w:asciiTheme="minorHAnsi" w:hAnsiTheme="minorHAnsi" w:cs="Arial"/>
          <w:lang w:val="en-ZA"/>
        </w:rPr>
        <w:tab/>
      </w:r>
      <w:r w:rsidR="00DC4C6E">
        <w:rPr>
          <w:rFonts w:asciiTheme="minorHAnsi" w:hAnsiTheme="minorHAnsi" w:cs="Arial"/>
          <w:lang w:val="en-ZA"/>
        </w:rPr>
        <w:tab/>
      </w:r>
      <w:r w:rsidR="00DC4C6E">
        <w:rPr>
          <w:rFonts w:asciiTheme="minorHAnsi" w:hAnsiTheme="minorHAnsi" w:cs="Arial"/>
          <w:lang w:val="en-ZA"/>
        </w:rPr>
        <w:tab/>
      </w:r>
      <w:r w:rsidR="00DC4C6E">
        <w:rPr>
          <w:rFonts w:asciiTheme="minorHAnsi" w:hAnsiTheme="minorHAnsi" w:cs="Arial"/>
          <w:lang w:val="en-ZA"/>
        </w:rPr>
        <w:tab/>
        <w:t xml:space="preserve">                     </w:t>
      </w:r>
      <w:r w:rsidRPr="00B9408A">
        <w:rPr>
          <w:rFonts w:asciiTheme="minorHAnsi" w:hAnsiTheme="minorHAnsi" w:cs="Arial"/>
          <w:lang w:val="en-ZA"/>
        </w:rPr>
        <w:t>+27 11 5207222</w:t>
      </w:r>
    </w:p>
    <w:p w:rsidR="00DE6F97" w:rsidRPr="00B9408A" w:rsidRDefault="00DE6F97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sectPr w:rsidR="00DE6F97" w:rsidRPr="00B9408A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33" w:rsidRDefault="00734933">
      <w:r>
        <w:separator/>
      </w:r>
    </w:p>
  </w:endnote>
  <w:endnote w:type="continuationSeparator" w:id="0">
    <w:p w:rsidR="00734933" w:rsidRDefault="007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E23EB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E23EB7" w:rsidRPr="00C94EA6">
      <w:rPr>
        <w:rFonts w:eastAsia="Times New Roman"/>
        <w:b/>
        <w:color w:val="808080"/>
        <w:sz w:val="14"/>
      </w:rPr>
      <w:fldChar w:fldCharType="separate"/>
    </w:r>
    <w:r w:rsidR="00DC4C6E">
      <w:rPr>
        <w:rFonts w:eastAsia="Times New Roman"/>
        <w:b/>
        <w:noProof/>
        <w:color w:val="808080"/>
        <w:sz w:val="14"/>
      </w:rPr>
      <w:t>2</w:t>
    </w:r>
    <w:r w:rsidR="00E23EB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E23EB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E23EB7" w:rsidRPr="00C94EA6">
      <w:rPr>
        <w:rFonts w:eastAsia="Times New Roman"/>
        <w:b/>
        <w:color w:val="808080"/>
        <w:sz w:val="14"/>
      </w:rPr>
      <w:fldChar w:fldCharType="separate"/>
    </w:r>
    <w:r w:rsidR="00DC4C6E">
      <w:rPr>
        <w:rFonts w:eastAsia="Times New Roman"/>
        <w:b/>
        <w:noProof/>
        <w:color w:val="808080"/>
        <w:sz w:val="14"/>
      </w:rPr>
      <w:t>2</w:t>
    </w:r>
    <w:r w:rsidR="00E23EB7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33" w:rsidRDefault="00734933">
      <w:r>
        <w:separator/>
      </w:r>
    </w:p>
  </w:footnote>
  <w:footnote w:type="continuationSeparator" w:id="0">
    <w:p w:rsidR="00734933" w:rsidRDefault="0073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23EB7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802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ED7044" wp14:editId="48F8CB5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167717C" wp14:editId="587987A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167717C" wp14:editId="587987A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B9D1B47" wp14:editId="252C2A64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802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3F6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C09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29F9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1E3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86A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21FF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5EBC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F1E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54D5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99D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474"/>
    <w:rsid w:val="0063332F"/>
    <w:rsid w:val="00633E4A"/>
    <w:rsid w:val="006344ED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933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270"/>
    <w:rsid w:val="00784076"/>
    <w:rsid w:val="00790E80"/>
    <w:rsid w:val="007911FF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262F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14B6"/>
    <w:rsid w:val="008B428E"/>
    <w:rsid w:val="008B42ED"/>
    <w:rsid w:val="008B49F3"/>
    <w:rsid w:val="008B4DBA"/>
    <w:rsid w:val="008B55BE"/>
    <w:rsid w:val="008C4F3F"/>
    <w:rsid w:val="008D0367"/>
    <w:rsid w:val="008D1149"/>
    <w:rsid w:val="008D7974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0D7"/>
    <w:rsid w:val="009E14A7"/>
    <w:rsid w:val="009E1A10"/>
    <w:rsid w:val="009E3D67"/>
    <w:rsid w:val="009E4FEA"/>
    <w:rsid w:val="009E50B9"/>
    <w:rsid w:val="009E53A7"/>
    <w:rsid w:val="009F05B3"/>
    <w:rsid w:val="009F0A54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300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5140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08A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DE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56C52"/>
    <w:rsid w:val="00C6141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0CBC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C6E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27"/>
    <w:rsid w:val="00DE6CDB"/>
    <w:rsid w:val="00DE6F97"/>
    <w:rsid w:val="00DF08B5"/>
    <w:rsid w:val="00DF185A"/>
    <w:rsid w:val="00DF300F"/>
    <w:rsid w:val="00DF4F7B"/>
    <w:rsid w:val="00DF5357"/>
    <w:rsid w:val="00E00C15"/>
    <w:rsid w:val="00E00ED7"/>
    <w:rsid w:val="00E0427E"/>
    <w:rsid w:val="00E063ED"/>
    <w:rsid w:val="00E0756A"/>
    <w:rsid w:val="00E12E08"/>
    <w:rsid w:val="00E23EB7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22CF"/>
    <w:rsid w:val="00E663F2"/>
    <w:rsid w:val="00E70401"/>
    <w:rsid w:val="00E723A4"/>
    <w:rsid w:val="00E72C91"/>
    <w:rsid w:val="00E778BE"/>
    <w:rsid w:val="00E90136"/>
    <w:rsid w:val="00E9332E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50B"/>
    <w:rsid w:val="00F4273B"/>
    <w:rsid w:val="00F4362E"/>
    <w:rsid w:val="00F45981"/>
    <w:rsid w:val="00F45B8F"/>
    <w:rsid w:val="00F45E4A"/>
    <w:rsid w:val="00F4759C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6654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0E6"/>
    <w:rsid w:val="00FD051C"/>
    <w:rsid w:val="00FD4D4C"/>
    <w:rsid w:val="00FD5F35"/>
    <w:rsid w:val="00FD6B57"/>
    <w:rsid w:val="00FD6C30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2000C8-9088-4E54-8238-9878A2CE6D45}"/>
</file>

<file path=customXml/itemProps2.xml><?xml version="1.0" encoding="utf-8"?>
<ds:datastoreItem xmlns:ds="http://schemas.openxmlformats.org/officeDocument/2006/customXml" ds:itemID="{16950CB6-33E5-4141-B2C0-9B3D4189186D}"/>
</file>

<file path=customXml/itemProps3.xml><?xml version="1.0" encoding="utf-8"?>
<ds:datastoreItem xmlns:ds="http://schemas.openxmlformats.org/officeDocument/2006/customXml" ds:itemID="{6E4BAF35-0483-4AB6-B3EA-4E1AA86E7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2015-03-09T09:18:00Z</dcterms:created>
  <dcterms:modified xsi:type="dcterms:W3CDTF">2015-03-09T09:43:00Z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NewReviewCycle">
    <vt:lpwstr/>
  </property>
  <property fmtid="{D5CDD505-2E9C-101B-9397-08002B2CF9AE}" pid="4" name="ContentTypeId">
    <vt:lpwstr>0x01010025A8B514A743974EAD575655CE6523733A0052C1F17EBC969548A3BECF8141E4CAD4</vt:lpwstr>
  </property>
  <property fmtid="{D5CDD505-2E9C-101B-9397-08002B2CF9AE}" pid="5" name="JSENavigation">
    <vt:lpwstr>50;#Documents|c07f2911-8c35-4c7d-a7c0-f2de254d2452</vt:lpwstr>
  </property>
  <property fmtid="{D5CDD505-2E9C-101B-9397-08002B2CF9AE}" pid="6" name="Order">
    <vt:r8>54600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